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  <w:bookmarkStart w:id="0" w:name="_GoBack"/>
      <w:bookmarkEnd w:id="0"/>
      <w:r w:rsidRPr="006F74CD">
        <w:rPr>
          <w:rFonts w:ascii="Century Gothic" w:hAnsi="Century Gothic" w:cs="Arial"/>
          <w:bCs/>
        </w:rPr>
        <w:t>Lo que respecta a la Fiscalía Especializada para la Atención a Delitos de Alto Impacto (Coordinación de las Mesas Especiales de Homicidios y Fiscalía Especializada para la Atención de Delitos de la Diversidad Sexual) se iniciaron carpetas de investigación, en las que las víctimas no han sido identificadas, con los siguientes resultados:</w:t>
      </w: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Coordinación de las Mesas Especiales de Homicidios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4"/>
        <w:gridCol w:w="789"/>
        <w:gridCol w:w="997"/>
        <w:gridCol w:w="997"/>
        <w:gridCol w:w="997"/>
        <w:gridCol w:w="997"/>
        <w:gridCol w:w="997"/>
        <w:gridCol w:w="998"/>
        <w:gridCol w:w="928"/>
      </w:tblGrid>
      <w:tr w:rsidR="0081025F" w:rsidRPr="006F74CD" w:rsidTr="00AB4346">
        <w:tc>
          <w:tcPr>
            <w:tcW w:w="1415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</w:t>
            </w:r>
          </w:p>
        </w:tc>
        <w:tc>
          <w:tcPr>
            <w:tcW w:w="808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2016</w:t>
            </w:r>
          </w:p>
        </w:tc>
        <w:tc>
          <w:tcPr>
            <w:tcW w:w="1069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2017</w:t>
            </w:r>
          </w:p>
        </w:tc>
        <w:tc>
          <w:tcPr>
            <w:tcW w:w="1069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2018</w:t>
            </w:r>
          </w:p>
        </w:tc>
        <w:tc>
          <w:tcPr>
            <w:tcW w:w="1069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2019</w:t>
            </w:r>
          </w:p>
        </w:tc>
        <w:tc>
          <w:tcPr>
            <w:tcW w:w="1069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2020</w:t>
            </w:r>
          </w:p>
        </w:tc>
        <w:tc>
          <w:tcPr>
            <w:tcW w:w="1069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2021</w:t>
            </w:r>
          </w:p>
        </w:tc>
        <w:tc>
          <w:tcPr>
            <w:tcW w:w="1070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2022</w:t>
            </w:r>
          </w:p>
        </w:tc>
        <w:tc>
          <w:tcPr>
            <w:tcW w:w="983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c>
          <w:tcPr>
            <w:tcW w:w="1415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/>
                <w:bCs/>
                <w:sz w:val="21"/>
                <w:szCs w:val="21"/>
              </w:rPr>
            </w:pPr>
            <w:r w:rsidRPr="00BD2830">
              <w:rPr>
                <w:rFonts w:ascii="Century Gothic" w:hAnsi="Century Gothic" w:cs="Arial"/>
                <w:b/>
                <w:bCs/>
                <w:sz w:val="20"/>
                <w:szCs w:val="21"/>
              </w:rPr>
              <w:t>NÚMERO DE CUERPOS</w:t>
            </w:r>
          </w:p>
        </w:tc>
        <w:tc>
          <w:tcPr>
            <w:tcW w:w="808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02</w:t>
            </w:r>
          </w:p>
        </w:tc>
        <w:tc>
          <w:tcPr>
            <w:tcW w:w="106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01</w:t>
            </w:r>
          </w:p>
        </w:tc>
        <w:tc>
          <w:tcPr>
            <w:tcW w:w="106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03</w:t>
            </w:r>
          </w:p>
        </w:tc>
        <w:tc>
          <w:tcPr>
            <w:tcW w:w="106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03</w:t>
            </w:r>
          </w:p>
        </w:tc>
        <w:tc>
          <w:tcPr>
            <w:tcW w:w="106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03</w:t>
            </w:r>
          </w:p>
        </w:tc>
        <w:tc>
          <w:tcPr>
            <w:tcW w:w="106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02</w:t>
            </w:r>
          </w:p>
        </w:tc>
        <w:tc>
          <w:tcPr>
            <w:tcW w:w="1070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04</w:t>
            </w:r>
          </w:p>
        </w:tc>
        <w:tc>
          <w:tcPr>
            <w:tcW w:w="983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02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Fiscalía Especializada para la Atención de Delitos de la Diversidad Sexual</w:t>
      </w:r>
    </w:p>
    <w:tbl>
      <w:tblPr>
        <w:tblStyle w:val="Tablaconcuadrcula"/>
        <w:tblW w:w="0" w:type="auto"/>
        <w:jc w:val="center"/>
        <w:tblInd w:w="-1782" w:type="dxa"/>
        <w:tblLook w:val="04A0" w:firstRow="1" w:lastRow="0" w:firstColumn="1" w:lastColumn="0" w:noHBand="0" w:noVBand="1"/>
      </w:tblPr>
      <w:tblGrid>
        <w:gridCol w:w="3308"/>
        <w:gridCol w:w="1194"/>
      </w:tblGrid>
      <w:tr w:rsidR="0081025F" w:rsidRPr="006F74CD" w:rsidTr="00AB4346">
        <w:trPr>
          <w:jc w:val="center"/>
        </w:trPr>
        <w:tc>
          <w:tcPr>
            <w:tcW w:w="3308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</w:t>
            </w:r>
          </w:p>
        </w:tc>
        <w:tc>
          <w:tcPr>
            <w:tcW w:w="1194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rPr>
          <w:jc w:val="center"/>
        </w:trPr>
        <w:tc>
          <w:tcPr>
            <w:tcW w:w="3308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NÚMERO DE CUERPOS</w:t>
            </w:r>
          </w:p>
        </w:tc>
        <w:tc>
          <w:tcPr>
            <w:tcW w:w="1194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01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 xml:space="preserve">2.- Sexo de cada uno de los cuerpos, cadáveres no identificados: </w:t>
      </w: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 xml:space="preserve">Todos son del sexo masculino. </w:t>
      </w: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 xml:space="preserve">3.- Causa de muerte de cada una de las personas no identificadas: </w:t>
      </w: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Coordinación de las Mesas Especiales de Homicidios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"/>
        <w:gridCol w:w="8533"/>
      </w:tblGrid>
      <w:tr w:rsidR="0081025F" w:rsidRPr="006F74CD" w:rsidTr="00AB4346">
        <w:trPr>
          <w:trHeight w:val="272"/>
        </w:trPr>
        <w:tc>
          <w:tcPr>
            <w:tcW w:w="9545" w:type="dxa"/>
            <w:gridSpan w:val="2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2016</w:t>
            </w:r>
          </w:p>
        </w:tc>
      </w:tr>
      <w:tr w:rsidR="0081025F" w:rsidRPr="006F74CD" w:rsidTr="00AB4346">
        <w:tc>
          <w:tcPr>
            <w:tcW w:w="534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both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9011" w:type="dxa"/>
          </w:tcPr>
          <w:p w:rsidR="0081025F" w:rsidRPr="006F74CD" w:rsidRDefault="0081025F" w:rsidP="00AB4346">
            <w:pPr>
              <w:pStyle w:val="Sinespaciado"/>
              <w:jc w:val="both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Traumatismo craneoencefálico con fractura de bóveda y piso craneal consecutivo a trauma contuso.</w:t>
            </w:r>
          </w:p>
        </w:tc>
      </w:tr>
      <w:tr w:rsidR="0081025F" w:rsidRPr="006F74CD" w:rsidTr="00AB4346">
        <w:tc>
          <w:tcPr>
            <w:tcW w:w="534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both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9011" w:type="dxa"/>
          </w:tcPr>
          <w:p w:rsidR="0081025F" w:rsidRPr="006F74CD" w:rsidRDefault="0081025F" w:rsidP="00AB4346">
            <w:pPr>
              <w:pStyle w:val="Sinespaciado"/>
              <w:jc w:val="both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Hemorragia interna intensa secundaria a laceración de víscera cardiaca producida por objeto punzo cortante.</w:t>
            </w:r>
          </w:p>
        </w:tc>
      </w:tr>
    </w:tbl>
    <w:tbl>
      <w:tblPr>
        <w:tblStyle w:val="Tablaconcuadrcula"/>
        <w:tblpPr w:leftFromText="141" w:rightFromText="141" w:vertAnchor="text" w:horzAnchor="margin" w:tblpY="209"/>
        <w:tblW w:w="0" w:type="auto"/>
        <w:tblLook w:val="04A0" w:firstRow="1" w:lastRow="0" w:firstColumn="1" w:lastColumn="0" w:noHBand="0" w:noVBand="1"/>
      </w:tblPr>
      <w:tblGrid>
        <w:gridCol w:w="639"/>
        <w:gridCol w:w="8415"/>
      </w:tblGrid>
      <w:tr w:rsidR="0081025F" w:rsidRPr="006F74CD" w:rsidTr="00AB4346">
        <w:tc>
          <w:tcPr>
            <w:tcW w:w="9606" w:type="dxa"/>
            <w:gridSpan w:val="2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2017</w:t>
            </w:r>
          </w:p>
        </w:tc>
      </w:tr>
      <w:tr w:rsidR="0081025F" w:rsidRPr="006F74CD" w:rsidTr="00AB4346">
        <w:tc>
          <w:tcPr>
            <w:tcW w:w="664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2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both"/>
              <w:rPr>
                <w:rFonts w:ascii="Century Gothic" w:eastAsia="Times New Roman" w:hAnsi="Century Gothic" w:cs="Arial"/>
                <w:lang w:eastAsia="es-MX"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Traumatismo craneoencefálico severo con hematoma epidural.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79"/>
        <w:gridCol w:w="8409"/>
      </w:tblGrid>
      <w:tr w:rsidR="0081025F" w:rsidRPr="006F74CD" w:rsidTr="00AB4346">
        <w:tc>
          <w:tcPr>
            <w:tcW w:w="9655" w:type="dxa"/>
            <w:gridSpan w:val="2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2018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Neumonía bilateral.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Asfixia por sumersión en agua fluvial.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lastRenderedPageBreak/>
              <w:t>3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Hemorragia masiva interna por laceración de órganos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toracoabdominales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 xml:space="preserve"> secundario a proyectiles.</w:t>
            </w:r>
          </w:p>
        </w:tc>
      </w:tr>
    </w:tbl>
    <w:p w:rsidR="0081025F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p w:rsidR="0081025F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0"/>
        <w:gridCol w:w="8408"/>
      </w:tblGrid>
      <w:tr w:rsidR="0081025F" w:rsidRPr="006F74CD" w:rsidTr="00AB4346">
        <w:tc>
          <w:tcPr>
            <w:tcW w:w="9655" w:type="dxa"/>
            <w:gridSpan w:val="2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2019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Traumatismo profundo de tórax que fractura al esternón que lacera el pulmón derecho que provoca hemorragia interna intensa.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Hemorragia cerebral aguda con laceración de encéfalo consecutivo a proyectil disparado por arma de fuego penetrante de cráneo por decapitación.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3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Hemorragia interna y externa intensa, por traumatismo craneoencefálico severo, fracturas craneales múltiples y laceración pulmonar, </w:t>
            </w:r>
            <w:proofErr w:type="gramStart"/>
            <w:r w:rsidRPr="006F74CD">
              <w:rPr>
                <w:rFonts w:ascii="Century Gothic" w:hAnsi="Century Gothic" w:cs="Arial"/>
                <w:b/>
                <w:bCs/>
              </w:rPr>
              <w:t>consecutivo</w:t>
            </w:r>
            <w:proofErr w:type="gramEnd"/>
            <w:r w:rsidRPr="006F74CD">
              <w:rPr>
                <w:rFonts w:ascii="Century Gothic" w:hAnsi="Century Gothic" w:cs="Arial"/>
                <w:b/>
                <w:bCs/>
              </w:rPr>
              <w:t xml:space="preserve"> a el paso de proyectiles disparados por arma de fuego. 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0"/>
        <w:gridCol w:w="8408"/>
      </w:tblGrid>
      <w:tr w:rsidR="0081025F" w:rsidRPr="006F74CD" w:rsidTr="00AB4346">
        <w:tc>
          <w:tcPr>
            <w:tcW w:w="9655" w:type="dxa"/>
            <w:gridSpan w:val="2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2020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Hemorragia cerebral aguda consecutiva a proyectil disparado por arma de fuego penetrante de cráneo.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Traumatismo craneoencefálico severo por fractura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temporoparietal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 xml:space="preserve"> derecho.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3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Asfixia por bronco aspiración secundario a etilismo crónico 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0"/>
        <w:gridCol w:w="8408"/>
      </w:tblGrid>
      <w:tr w:rsidR="0081025F" w:rsidRPr="006F74CD" w:rsidTr="00AB4346">
        <w:tc>
          <w:tcPr>
            <w:tcW w:w="9655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2021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Hemorragia cerebral secundaria a traumatismo craneoencefálico severo.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Hemorragia interna intensa por laceración de visera cardiaca, consecutiva a herida producida por el paso de proyectil disparado por arma de fuego, penetrante de tórax.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0"/>
        <w:gridCol w:w="8408"/>
      </w:tblGrid>
      <w:tr w:rsidR="0081025F" w:rsidRPr="006F74CD" w:rsidTr="00AB4346">
        <w:tc>
          <w:tcPr>
            <w:tcW w:w="9655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2022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Choque hipovolémico, por hemorragia externa intensa, debido a perforación de vaso sanguíneo del cuello por objeto punzocortante.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Traumatismo craneoencefálico con edema cerebral y hemorragia subdural generalizada, secundario a contusión profunda de cráneo.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3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Asfixia por bronco aspiración de contenido gástrico, falla hepática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4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Traumatismo craneoencefálico severo, hematoma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intracraneano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 xml:space="preserve">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politraumatizado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>.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ind w:left="720"/>
        <w:jc w:val="center"/>
        <w:rPr>
          <w:rFonts w:ascii="Century Gothic" w:hAnsi="Century Gothic" w:cs="Arial"/>
          <w:b/>
          <w:bCs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0"/>
        <w:gridCol w:w="8408"/>
      </w:tblGrid>
      <w:tr w:rsidR="0081025F" w:rsidRPr="006F74CD" w:rsidTr="00AB4346">
        <w:tc>
          <w:tcPr>
            <w:tcW w:w="9655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Choque traumatismo craneoencefálico con hemorragia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subdural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 xml:space="preserve"> </w:t>
            </w:r>
            <w:proofErr w:type="spellStart"/>
            <w:r w:rsidRPr="006F74CD">
              <w:rPr>
                <w:rFonts w:ascii="Century Gothic" w:hAnsi="Century Gothic" w:cs="Arial"/>
                <w:b/>
                <w:bCs/>
              </w:rPr>
              <w:t>bitemporal</w:t>
            </w:r>
            <w:proofErr w:type="spellEnd"/>
            <w:r w:rsidRPr="006F74CD">
              <w:rPr>
                <w:rFonts w:ascii="Century Gothic" w:hAnsi="Century Gothic" w:cs="Arial"/>
                <w:b/>
                <w:bCs/>
              </w:rPr>
              <w:t xml:space="preserve">, laceración del encéfalo y fractura del piso medio y bóveda del </w:t>
            </w:r>
            <w:r w:rsidRPr="006F74CD">
              <w:rPr>
                <w:rFonts w:ascii="Century Gothic" w:hAnsi="Century Gothic" w:cs="Arial"/>
                <w:b/>
                <w:bCs/>
              </w:rPr>
              <w:lastRenderedPageBreak/>
              <w:t>cráneo, debido a contusiones profundas del cráneo.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lastRenderedPageBreak/>
              <w:t>2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Laceración y perforación vértebra cervical, axón neurológico, arteria y vena carótida, yugular y paravertebral con hemorragia intensa provocada por proyectil de arma de fuego.</w:t>
            </w:r>
          </w:p>
        </w:tc>
      </w:tr>
    </w:tbl>
    <w:p w:rsidR="0081025F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Fiscalía Especializada para la Atención de Delitos de la Diversidad Sexual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683"/>
        <w:gridCol w:w="8405"/>
      </w:tblGrid>
      <w:tr w:rsidR="0081025F" w:rsidRPr="006F74CD" w:rsidTr="00AB4346">
        <w:tc>
          <w:tcPr>
            <w:tcW w:w="9655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c>
          <w:tcPr>
            <w:tcW w:w="709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946" w:type="dxa"/>
          </w:tcPr>
          <w:p w:rsidR="0081025F" w:rsidRPr="006F74CD" w:rsidRDefault="0081025F" w:rsidP="00AB4346">
            <w:pPr>
              <w:pStyle w:val="Sinespaciado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Asfixia por bronco aspiración de contenido gástrico.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>4.-Lugar en donde fue encontrado cada uno de los cuerpos o cadáveres no identificados…:</w:t>
      </w: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Coordinación de las Mesas Especiales de Homicidios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8"/>
        <w:gridCol w:w="1170"/>
        <w:gridCol w:w="1013"/>
        <w:gridCol w:w="1291"/>
        <w:gridCol w:w="1308"/>
        <w:gridCol w:w="1131"/>
        <w:gridCol w:w="1281"/>
        <w:gridCol w:w="972"/>
      </w:tblGrid>
      <w:tr w:rsidR="0081025F" w:rsidRPr="006F74CD" w:rsidTr="00AB4346">
        <w:tc>
          <w:tcPr>
            <w:tcW w:w="951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2016</w:t>
            </w:r>
          </w:p>
        </w:tc>
        <w:tc>
          <w:tcPr>
            <w:tcW w:w="1244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2017</w:t>
            </w:r>
          </w:p>
        </w:tc>
        <w:tc>
          <w:tcPr>
            <w:tcW w:w="1082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2018</w:t>
            </w:r>
          </w:p>
        </w:tc>
        <w:tc>
          <w:tcPr>
            <w:tcW w:w="1342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2019</w:t>
            </w:r>
          </w:p>
        </w:tc>
        <w:tc>
          <w:tcPr>
            <w:tcW w:w="1366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2020</w:t>
            </w:r>
          </w:p>
        </w:tc>
        <w:tc>
          <w:tcPr>
            <w:tcW w:w="1170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2021</w:t>
            </w:r>
          </w:p>
        </w:tc>
        <w:tc>
          <w:tcPr>
            <w:tcW w:w="1398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2022</w:t>
            </w:r>
          </w:p>
        </w:tc>
        <w:tc>
          <w:tcPr>
            <w:tcW w:w="1068" w:type="dxa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rPr>
          <w:trHeight w:val="1883"/>
        </w:trPr>
        <w:tc>
          <w:tcPr>
            <w:tcW w:w="951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1.-Calle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 Río</w:t>
            </w:r>
          </w:p>
        </w:tc>
        <w:tc>
          <w:tcPr>
            <w:tcW w:w="1244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1.-Hospital</w:t>
            </w:r>
          </w:p>
        </w:tc>
        <w:tc>
          <w:tcPr>
            <w:tcW w:w="1082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 Calle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 Río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3.- Paraje</w:t>
            </w:r>
          </w:p>
        </w:tc>
        <w:tc>
          <w:tcPr>
            <w:tcW w:w="1342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 Río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 Calle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3. Carretera</w:t>
            </w:r>
          </w:p>
        </w:tc>
        <w:tc>
          <w:tcPr>
            <w:tcW w:w="1366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1.-Terreno baldío.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 Predio sin habitar.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3.-Carretera</w:t>
            </w:r>
          </w:p>
        </w:tc>
        <w:tc>
          <w:tcPr>
            <w:tcW w:w="1170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 Hospital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2.-Carrerta</w:t>
            </w:r>
          </w:p>
        </w:tc>
        <w:tc>
          <w:tcPr>
            <w:tcW w:w="1398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 Calle.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2.-Terreno baldío.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3.- Calle.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4.- Hospital</w:t>
            </w:r>
          </w:p>
        </w:tc>
        <w:tc>
          <w:tcPr>
            <w:tcW w:w="1068" w:type="dxa"/>
          </w:tcPr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1.- Calle</w:t>
            </w:r>
          </w:p>
          <w:p w:rsidR="0081025F" w:rsidRPr="00BD2830" w:rsidRDefault="0081025F" w:rsidP="00AB4346">
            <w:pPr>
              <w:pStyle w:val="Sinespaciado"/>
              <w:spacing w:line="360" w:lineRule="auto"/>
              <w:rPr>
                <w:rFonts w:ascii="Century Gothic" w:hAnsi="Century Gothic" w:cs="Arial"/>
                <w:bCs/>
                <w:sz w:val="20"/>
                <w:szCs w:val="21"/>
              </w:rPr>
            </w:pPr>
            <w:r w:rsidRPr="00BD2830">
              <w:rPr>
                <w:rFonts w:ascii="Century Gothic" w:hAnsi="Century Gothic" w:cs="Arial"/>
                <w:bCs/>
                <w:sz w:val="20"/>
                <w:szCs w:val="21"/>
              </w:rPr>
              <w:t>2.- Calle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Fiscalía Especializada para la Atención de Delitos de la Diversidad Sexual</w:t>
      </w:r>
    </w:p>
    <w:tbl>
      <w:tblPr>
        <w:tblStyle w:val="Tablaconcuadrcula"/>
        <w:tblW w:w="0" w:type="auto"/>
        <w:jc w:val="center"/>
        <w:tblInd w:w="-1782" w:type="dxa"/>
        <w:tblLook w:val="04A0" w:firstRow="1" w:lastRow="0" w:firstColumn="1" w:lastColumn="0" w:noHBand="0" w:noVBand="1"/>
      </w:tblPr>
      <w:tblGrid>
        <w:gridCol w:w="3308"/>
      </w:tblGrid>
      <w:tr w:rsidR="0081025F" w:rsidRPr="006F74CD" w:rsidTr="00AB4346">
        <w:trPr>
          <w:jc w:val="center"/>
        </w:trPr>
        <w:tc>
          <w:tcPr>
            <w:tcW w:w="3308" w:type="dxa"/>
            <w:shd w:val="clear" w:color="auto" w:fill="9BBB59" w:themeFill="accent3"/>
          </w:tcPr>
          <w:p w:rsidR="0081025F" w:rsidRPr="006F74CD" w:rsidRDefault="0081025F" w:rsidP="00AB4346">
            <w:pPr>
              <w:pStyle w:val="Sinespaciado"/>
              <w:spacing w:line="360" w:lineRule="aut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2023</w:t>
            </w:r>
          </w:p>
        </w:tc>
      </w:tr>
      <w:tr w:rsidR="0081025F" w:rsidRPr="006F74CD" w:rsidTr="00AB4346">
        <w:trPr>
          <w:jc w:val="center"/>
        </w:trPr>
        <w:tc>
          <w:tcPr>
            <w:tcW w:w="3308" w:type="dxa"/>
          </w:tcPr>
          <w:p w:rsidR="0081025F" w:rsidRPr="00BD2830" w:rsidRDefault="0081025F" w:rsidP="0081025F">
            <w:pPr>
              <w:pStyle w:val="Sinespaciado"/>
              <w:numPr>
                <w:ilvl w:val="0"/>
                <w:numId w:val="1"/>
              </w:numPr>
              <w:spacing w:line="360" w:lineRule="auto"/>
              <w:rPr>
                <w:rFonts w:ascii="Century Gothic" w:hAnsi="Century Gothic" w:cs="Arial"/>
                <w:bCs/>
              </w:rPr>
            </w:pPr>
            <w:r w:rsidRPr="00BD2830">
              <w:rPr>
                <w:rFonts w:ascii="Century Gothic" w:hAnsi="Century Gothic" w:cs="Arial"/>
                <w:bCs/>
              </w:rPr>
              <w:t>Calle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 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 xml:space="preserve">5.- El lugar en donde se encuentra actualmente cada uno de los cuerpos o cadáveres no identificados: </w:t>
      </w: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Coordinación de las Mesas Especiales de Homicidios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81"/>
        <w:gridCol w:w="5858"/>
      </w:tblGrid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2016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 CUERPO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UNIVERSIDAD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1 CUERPO 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FOSA COMÚN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  <w:shd w:val="clear" w:color="auto" w:fill="C4BC96" w:themeFill="background2" w:themeFillShade="BF"/>
              </w:rPr>
              <w:t>AÑO</w:t>
            </w:r>
            <w:r w:rsidRPr="006F74CD">
              <w:rPr>
                <w:rFonts w:ascii="Century Gothic" w:hAnsi="Century Gothic" w:cs="Arial"/>
                <w:b/>
                <w:bCs/>
              </w:rPr>
              <w:t xml:space="preserve"> 2017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1 CUERPO 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UNIVERSIDAD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2018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 CUERPO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 CUERPO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UNIVERSIDAD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1 CUERPO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FOSA COMÚN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2019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lastRenderedPageBreak/>
              <w:t>3 CUERPOS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2020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3 CUERPOS 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2021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2 CUERPOS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2022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4 CUERPOS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2023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2 CUERPOS 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Fiscalía Especializada para la Atención de Delitos de la Diversidad Sexual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81"/>
        <w:gridCol w:w="5858"/>
      </w:tblGrid>
      <w:tr w:rsidR="0081025F" w:rsidRPr="006F74CD" w:rsidTr="00AB4346">
        <w:tc>
          <w:tcPr>
            <w:tcW w:w="9039" w:type="dxa"/>
            <w:gridSpan w:val="2"/>
            <w:shd w:val="clear" w:color="auto" w:fill="C4BC96" w:themeFill="background2" w:themeFillShade="BF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AÑO 2023</w:t>
            </w:r>
          </w:p>
        </w:tc>
      </w:tr>
      <w:tr w:rsidR="0081025F" w:rsidRPr="006F74CD" w:rsidTr="00AB4346">
        <w:tc>
          <w:tcPr>
            <w:tcW w:w="3181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 xml:space="preserve">1 CUERPO </w:t>
            </w:r>
          </w:p>
        </w:tc>
        <w:tc>
          <w:tcPr>
            <w:tcW w:w="5858" w:type="dxa"/>
          </w:tcPr>
          <w:p w:rsidR="0081025F" w:rsidRPr="006F74CD" w:rsidRDefault="0081025F" w:rsidP="00AB4346">
            <w:pPr>
              <w:pStyle w:val="Sinespaciado"/>
              <w:jc w:val="center"/>
              <w:rPr>
                <w:rFonts w:ascii="Century Gothic" w:hAnsi="Century Gothic" w:cs="Arial"/>
                <w:b/>
                <w:bCs/>
              </w:rPr>
            </w:pPr>
            <w:r w:rsidRPr="006F74CD">
              <w:rPr>
                <w:rFonts w:ascii="Century Gothic" w:hAnsi="Century Gothic" w:cs="Arial"/>
                <w:b/>
                <w:bCs/>
              </w:rPr>
              <w:t>MORGUE</w:t>
            </w:r>
          </w:p>
        </w:tc>
      </w:tr>
    </w:tbl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>6.- Si se le realizó necropsia a cada uno de los cuerpos o cadáveres no identificados: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Si, se realizó en todos los cuerpos.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>7.-Si se le tomó muestra para la obtención del perfil genético que permita la identificación de cada uno de los cuerpos o cadáveres no identificados:</w:t>
      </w:r>
    </w:p>
    <w:p w:rsidR="0081025F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Si, se realizó toma de muestra en cada uno de los cuerpos.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 xml:space="preserve">8.-Si se cuenta con perfil genético que permita la identificación de cada uno de los cuerpos o cadáveres no identificados: </w:t>
      </w:r>
    </w:p>
    <w:p w:rsidR="0081025F" w:rsidRPr="006F74CD" w:rsidRDefault="0081025F" w:rsidP="0081025F">
      <w:pPr>
        <w:pStyle w:val="Sinespaciado"/>
        <w:spacing w:line="360" w:lineRule="auto"/>
        <w:jc w:val="both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Lo concerniente a la Coordinación de las Mesas Especiales de Homicidios</w:t>
      </w:r>
      <w:r>
        <w:rPr>
          <w:rFonts w:ascii="Century Gothic" w:hAnsi="Century Gothic" w:cs="Arial"/>
          <w:b/>
          <w:bCs/>
        </w:rPr>
        <w:t xml:space="preserve"> </w:t>
      </w:r>
      <w:r w:rsidRPr="006F74CD">
        <w:rPr>
          <w:rFonts w:ascii="Century Gothic" w:hAnsi="Century Gothic" w:cs="Arial"/>
          <w:b/>
          <w:bCs/>
        </w:rPr>
        <w:t>si se cuenta con el perfil genético de los cadáveres y por lo que respecta a la Fiscalía Especializada para la Atención de Delitos de la Diversidad Sexual el perfil genético se encuentra aún en proceso de elaboración.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t>9.-Si se expidió el certificado de defunción a cada uno de los cuerpos o cadáveres: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Si, se cuenta con certificado de defunción correspondiente en cada uno de los casos.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Cs/>
        </w:rPr>
      </w:pPr>
      <w:r w:rsidRPr="006F74CD">
        <w:rPr>
          <w:rFonts w:ascii="Century Gothic" w:hAnsi="Century Gothic" w:cs="Arial"/>
          <w:bCs/>
        </w:rPr>
        <w:lastRenderedPageBreak/>
        <w:t xml:space="preserve">10.- Si se cuenta con un archivo básico para los cadáveres no identificados o con hipótesis de identificación, de acuerdo al Protocolo para el tratamiento e identificación forense: </w:t>
      </w:r>
    </w:p>
    <w:p w:rsidR="0081025F" w:rsidRPr="006F74CD" w:rsidRDefault="0081025F" w:rsidP="0081025F">
      <w:pPr>
        <w:pStyle w:val="Sinespaciado"/>
        <w:spacing w:line="360" w:lineRule="auto"/>
        <w:rPr>
          <w:rFonts w:ascii="Century Gothic" w:hAnsi="Century Gothic" w:cs="Arial"/>
          <w:b/>
          <w:bCs/>
        </w:rPr>
      </w:pPr>
      <w:r w:rsidRPr="006F74CD">
        <w:rPr>
          <w:rFonts w:ascii="Century Gothic" w:hAnsi="Century Gothic" w:cs="Arial"/>
          <w:b/>
          <w:bCs/>
        </w:rPr>
        <w:t>Esta área no es competente para dar respuesta a dicha pregunta.</w:t>
      </w:r>
    </w:p>
    <w:p w:rsidR="00F4011D" w:rsidRDefault="001561E6"/>
    <w:sectPr w:rsidR="00F401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612A"/>
    <w:multiLevelType w:val="hybridMultilevel"/>
    <w:tmpl w:val="1408ED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5F"/>
    <w:rsid w:val="001561E6"/>
    <w:rsid w:val="0081025F"/>
    <w:rsid w:val="00871F18"/>
    <w:rsid w:val="00F3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F"/>
    <w:pPr>
      <w:spacing w:after="0" w:line="240" w:lineRule="auto"/>
    </w:pPr>
    <w:rPr>
      <w:rFonts w:eastAsiaTheme="minorEastAsi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con espacio"/>
    <w:link w:val="SinespaciadoCar"/>
    <w:uiPriority w:val="1"/>
    <w:qFormat/>
    <w:rsid w:val="00810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aliases w:val="con espacio Car"/>
    <w:basedOn w:val="Fuentedeprrafopredeter"/>
    <w:link w:val="Sinespaciado"/>
    <w:uiPriority w:val="1"/>
    <w:rsid w:val="0081025F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810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5F"/>
    <w:pPr>
      <w:spacing w:after="0" w:line="240" w:lineRule="auto"/>
    </w:pPr>
    <w:rPr>
      <w:rFonts w:eastAsiaTheme="minorEastAsi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con espacio"/>
    <w:link w:val="SinespaciadoCar"/>
    <w:uiPriority w:val="1"/>
    <w:qFormat/>
    <w:rsid w:val="00810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aliases w:val="con espacio Car"/>
    <w:basedOn w:val="Fuentedeprrafopredeter"/>
    <w:link w:val="Sinespaciado"/>
    <w:uiPriority w:val="1"/>
    <w:rsid w:val="0081025F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810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SUBPROCURADOR</dc:creator>
  <cp:lastModifiedBy>mima</cp:lastModifiedBy>
  <cp:revision>2</cp:revision>
  <dcterms:created xsi:type="dcterms:W3CDTF">2024-01-11T21:34:00Z</dcterms:created>
  <dcterms:modified xsi:type="dcterms:W3CDTF">2024-01-11T21:34:00Z</dcterms:modified>
</cp:coreProperties>
</file>